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4B" w:rsidRPr="008134BD" w:rsidRDefault="008134BD" w:rsidP="008134BD">
      <w:pPr>
        <w:jc w:val="center"/>
        <w:rPr>
          <w:rFonts w:ascii="Verdana" w:hAnsi="Verdana"/>
          <w:b/>
          <w:sz w:val="20"/>
          <w:szCs w:val="20"/>
        </w:rPr>
      </w:pPr>
      <w:r w:rsidRPr="008134BD">
        <w:rPr>
          <w:rFonts w:ascii="Verdana" w:hAnsi="Verdana"/>
          <w:b/>
          <w:sz w:val="20"/>
          <w:szCs w:val="20"/>
        </w:rPr>
        <w:t xml:space="preserve">ΠΡΟΓΡΑΜΜΑ ΕΞΟΙΚΟΝΟΜΗΣΗΣ ΕΝΕΡΓΕΙΑΣ ΣΤΑ ΚΑΤΑΣΤΗΜΑΤΑ </w:t>
      </w:r>
      <w:r w:rsidRPr="008134BD">
        <w:rPr>
          <w:rFonts w:ascii="Verdana" w:hAnsi="Verdana"/>
          <w:b/>
          <w:sz w:val="20"/>
          <w:szCs w:val="20"/>
          <w:lang w:val="en-US"/>
        </w:rPr>
        <w:t>ORANGE</w:t>
      </w:r>
    </w:p>
    <w:p w:rsidR="008134BD" w:rsidRPr="008134BD" w:rsidRDefault="008134BD" w:rsidP="008134B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ΦΑΣΗ ΝΟ 2 : </w:t>
      </w:r>
      <w:r w:rsidRPr="008134BD">
        <w:rPr>
          <w:rFonts w:ascii="Verdana" w:hAnsi="Verdana"/>
          <w:b/>
          <w:sz w:val="20"/>
          <w:szCs w:val="20"/>
        </w:rPr>
        <w:t xml:space="preserve">ΑΝΤΙΚΑΤΑΣΤΑΣΗ ΣΥΜΒΑΤΙΚΩΝ ΛΑΜΠΤΗΡΩΝ ΜΕ </w:t>
      </w:r>
      <w:r w:rsidRPr="008134BD">
        <w:rPr>
          <w:rFonts w:ascii="Verdana" w:hAnsi="Verdana"/>
          <w:b/>
          <w:sz w:val="20"/>
          <w:szCs w:val="20"/>
          <w:lang w:val="en-US"/>
        </w:rPr>
        <w:t>LED</w:t>
      </w:r>
    </w:p>
    <w:p w:rsidR="006E48BA" w:rsidRDefault="00CA0D4B" w:rsidP="00CA0D4B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  <w:r w:rsidR="00C633AD" w:rsidRPr="00CA0D4B">
        <w:rPr>
          <w:rFonts w:ascii="Verdana" w:hAnsi="Verdana"/>
          <w:sz w:val="20"/>
          <w:szCs w:val="20"/>
        </w:rPr>
        <w:t xml:space="preserve">Τα καταστήματα </w:t>
      </w:r>
      <w:r w:rsidR="00C633AD" w:rsidRPr="00CA0D4B">
        <w:rPr>
          <w:rFonts w:ascii="Verdana" w:hAnsi="Verdana"/>
          <w:sz w:val="20"/>
          <w:szCs w:val="20"/>
          <w:lang w:val="en-US"/>
        </w:rPr>
        <w:t>ORANGE</w:t>
      </w:r>
      <w:r w:rsidR="00C633AD" w:rsidRPr="00CA0D4B">
        <w:rPr>
          <w:rFonts w:ascii="Verdana" w:hAnsi="Verdana"/>
          <w:sz w:val="20"/>
          <w:szCs w:val="20"/>
        </w:rPr>
        <w:t xml:space="preserve"> δραστηριοποιούνται στο χώρο της ένδυσης και ειδικότερα στο χώρο των εσωρούχων επί σειρά ετών . </w:t>
      </w:r>
      <w:r w:rsidRPr="00CA0D4B">
        <w:rPr>
          <w:rFonts w:ascii="Verdana" w:hAnsi="Verdana"/>
          <w:sz w:val="20"/>
          <w:szCs w:val="20"/>
        </w:rPr>
        <w:t>Δ</w:t>
      </w:r>
      <w:r w:rsidR="00C633AD" w:rsidRPr="00CA0D4B">
        <w:rPr>
          <w:rFonts w:ascii="Verdana" w:hAnsi="Verdana"/>
          <w:sz w:val="20"/>
          <w:szCs w:val="20"/>
        </w:rPr>
        <w:t>ιαθέτουν μεγάλη ποικιλία και γκάμα εσωρούχων τόσο γυναικείων όσο και ανδρικών.</w:t>
      </w:r>
      <w:r w:rsidR="003E7DFE">
        <w:rPr>
          <w:rFonts w:ascii="Verdana" w:hAnsi="Verdana"/>
          <w:sz w:val="20"/>
          <w:szCs w:val="20"/>
        </w:rPr>
        <w:t xml:space="preserve"> Αυτό καθιστά τις απαιτήσεις τους σε φωτισμό ιδιαίτερα αυξημένες αφού θα πρέπει  να προσαρμόζονται και να διαφοροποιούνται κάθε φορά .</w:t>
      </w:r>
    </w:p>
    <w:p w:rsidR="003E7DFE" w:rsidRDefault="003E7DFE" w:rsidP="00CA0D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Τα αυξημένα λειτουργικά κόστη για φωτισμό (ηλεκτρική ενέργεια) αλλά και η κακή ποιότητα φωτισμού λόγο της μικρής διάρκειας ζωής των λαμπτήρων και της γήρανσης αυτών </w:t>
      </w:r>
      <w:r w:rsidR="00586710">
        <w:rPr>
          <w:rFonts w:ascii="Verdana" w:hAnsi="Verdana"/>
          <w:sz w:val="20"/>
          <w:szCs w:val="20"/>
        </w:rPr>
        <w:t>έκανε επιτακτική την ανάγκη εύρεσης λύσης.</w:t>
      </w:r>
    </w:p>
    <w:p w:rsidR="00C633AD" w:rsidRDefault="00CA0D4B" w:rsidP="00CA0D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586710">
        <w:rPr>
          <w:rFonts w:ascii="Verdana" w:hAnsi="Verdana"/>
          <w:sz w:val="20"/>
          <w:szCs w:val="20"/>
        </w:rPr>
        <w:t>Έτσι ύ</w:t>
      </w:r>
      <w:r w:rsidRPr="00CA0D4B">
        <w:rPr>
          <w:rFonts w:ascii="Verdana" w:hAnsi="Verdana"/>
          <w:sz w:val="20"/>
          <w:szCs w:val="20"/>
        </w:rPr>
        <w:t>στερα από μια ολοκληρωμέ</w:t>
      </w:r>
      <w:r w:rsidR="00335919">
        <w:rPr>
          <w:rFonts w:ascii="Verdana" w:hAnsi="Verdana"/>
          <w:sz w:val="20"/>
          <w:szCs w:val="20"/>
        </w:rPr>
        <w:t>νη πρόταση που τους παρουσιάστηκε</w:t>
      </w:r>
      <w:r w:rsidRPr="00CA0D4B">
        <w:rPr>
          <w:rFonts w:ascii="Verdana" w:hAnsi="Verdana"/>
          <w:sz w:val="20"/>
          <w:szCs w:val="20"/>
        </w:rPr>
        <w:t xml:space="preserve"> αποφάσισαν τον Ιούνιο του  2011 να προχωρήσουν σε  αντικατάσταση </w:t>
      </w:r>
      <w:r>
        <w:rPr>
          <w:rFonts w:ascii="Verdana" w:hAnsi="Verdana"/>
          <w:sz w:val="20"/>
          <w:szCs w:val="20"/>
        </w:rPr>
        <w:t xml:space="preserve">με </w:t>
      </w:r>
      <w:r>
        <w:rPr>
          <w:rFonts w:ascii="Verdana" w:hAnsi="Verdana"/>
          <w:sz w:val="20"/>
          <w:szCs w:val="20"/>
          <w:lang w:val="en-US"/>
        </w:rPr>
        <w:t>LED</w:t>
      </w:r>
      <w:r w:rsidRPr="00CA0D4B">
        <w:rPr>
          <w:rFonts w:ascii="Verdana" w:hAnsi="Verdana"/>
          <w:sz w:val="20"/>
          <w:szCs w:val="20"/>
        </w:rPr>
        <w:t xml:space="preserve"> όλων των ενεργοβόρων λαμπτήρων που είχαν μέχρι τότε τα καταστήματα, </w:t>
      </w:r>
      <w:r>
        <w:rPr>
          <w:rFonts w:ascii="Verdana" w:hAnsi="Verdana"/>
          <w:sz w:val="20"/>
          <w:szCs w:val="20"/>
        </w:rPr>
        <w:t>με γνώμονα την εξοικονόμηση ενέργειας και την προστασία του περιβάλλοντος</w:t>
      </w:r>
      <w:r w:rsidR="000A7FEF">
        <w:rPr>
          <w:rFonts w:ascii="Verdana" w:hAnsi="Verdana"/>
          <w:sz w:val="20"/>
          <w:szCs w:val="20"/>
        </w:rPr>
        <w:t>.</w:t>
      </w:r>
      <w:r w:rsidR="003E7DFE">
        <w:rPr>
          <w:rFonts w:ascii="Verdana" w:hAnsi="Verdana"/>
          <w:sz w:val="20"/>
          <w:szCs w:val="20"/>
        </w:rPr>
        <w:t xml:space="preserve"> </w:t>
      </w:r>
    </w:p>
    <w:p w:rsidR="000A7FEF" w:rsidRDefault="000A7FEF" w:rsidP="00CA0D4B">
      <w:pPr>
        <w:jc w:val="both"/>
        <w:rPr>
          <w:rFonts w:ascii="Verdana" w:hAnsi="Verdana"/>
          <w:sz w:val="20"/>
          <w:szCs w:val="20"/>
        </w:rPr>
      </w:pPr>
    </w:p>
    <w:p w:rsidR="000A7FEF" w:rsidRDefault="000A7FE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Ειδικότερα αντικαταστήσαμε όλους τους συμβατικούς λαμπτήρες αλογόνου με νέους υψηλής απόδοσης.</w:t>
      </w:r>
    </w:p>
    <w:p w:rsidR="000A7FEF" w:rsidRDefault="000A7FE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Συγκεκριμένα αντικαταστήσαμε: </w:t>
      </w:r>
    </w:p>
    <w:p w:rsidR="00CA0D4B" w:rsidRPr="000A7FEF" w:rsidRDefault="000A7FEF" w:rsidP="000A7FEF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Λ</w:t>
      </w:r>
      <w:r w:rsidRPr="000A7FEF">
        <w:rPr>
          <w:rFonts w:ascii="Verdana" w:hAnsi="Verdana"/>
          <w:sz w:val="20"/>
          <w:szCs w:val="20"/>
        </w:rPr>
        <w:t>αμπτήρες αλογόνου</w:t>
      </w:r>
      <w:r>
        <w:rPr>
          <w:rFonts w:ascii="Verdana" w:hAnsi="Verdana"/>
          <w:sz w:val="20"/>
          <w:szCs w:val="20"/>
        </w:rPr>
        <w:t xml:space="preserve"> </w:t>
      </w:r>
      <w:r w:rsidR="00D5756C">
        <w:rPr>
          <w:rFonts w:ascii="Verdana" w:hAnsi="Verdana"/>
          <w:sz w:val="20"/>
          <w:szCs w:val="20"/>
          <w:lang w:val="en-US"/>
        </w:rPr>
        <w:t>MR</w:t>
      </w:r>
      <w:r w:rsidR="00D5756C" w:rsidRPr="00D5756C">
        <w:rPr>
          <w:rFonts w:ascii="Verdana" w:hAnsi="Verdana"/>
          <w:sz w:val="20"/>
          <w:szCs w:val="20"/>
        </w:rPr>
        <w:t>-16, 12</w:t>
      </w:r>
      <w:r w:rsidR="00D5756C">
        <w:rPr>
          <w:rFonts w:ascii="Verdana" w:hAnsi="Verdana"/>
          <w:sz w:val="20"/>
          <w:szCs w:val="20"/>
          <w:lang w:val="en-US"/>
        </w:rPr>
        <w:t>v</w:t>
      </w:r>
      <w:r w:rsidR="00D5756C" w:rsidRPr="00D5756C">
        <w:rPr>
          <w:rFonts w:ascii="Verdana" w:hAnsi="Verdana"/>
          <w:sz w:val="20"/>
          <w:szCs w:val="20"/>
        </w:rPr>
        <w:t xml:space="preserve"> </w:t>
      </w:r>
      <w:r w:rsidRPr="000A7FEF">
        <w:rPr>
          <w:rFonts w:ascii="Verdana" w:hAnsi="Verdana"/>
          <w:sz w:val="20"/>
          <w:szCs w:val="20"/>
        </w:rPr>
        <w:t xml:space="preserve">των 50 </w:t>
      </w:r>
      <w:r w:rsidRPr="000A7FEF">
        <w:rPr>
          <w:rFonts w:ascii="Verdana" w:hAnsi="Verdana"/>
          <w:sz w:val="20"/>
          <w:szCs w:val="20"/>
          <w:lang w:val="en-US"/>
        </w:rPr>
        <w:t>w</w:t>
      </w:r>
      <w:r w:rsidRPr="000A7FEF">
        <w:rPr>
          <w:rFonts w:ascii="Verdana" w:hAnsi="Verdana"/>
          <w:sz w:val="20"/>
          <w:szCs w:val="20"/>
        </w:rPr>
        <w:t xml:space="preserve"> με λαμπτήρες </w:t>
      </w:r>
      <w:r w:rsidRPr="000A7FEF">
        <w:rPr>
          <w:rFonts w:ascii="Verdana" w:hAnsi="Verdana"/>
          <w:sz w:val="20"/>
          <w:szCs w:val="20"/>
          <w:lang w:val="en-US"/>
        </w:rPr>
        <w:t>LED</w:t>
      </w:r>
      <w:r w:rsidRPr="000A7FEF">
        <w:rPr>
          <w:rFonts w:ascii="Verdana" w:hAnsi="Verdana"/>
          <w:sz w:val="20"/>
          <w:szCs w:val="20"/>
        </w:rPr>
        <w:t xml:space="preserve"> 3</w:t>
      </w:r>
      <w:r w:rsidRPr="000A7FEF">
        <w:rPr>
          <w:rFonts w:ascii="Verdana" w:hAnsi="Verdana"/>
          <w:sz w:val="20"/>
          <w:szCs w:val="20"/>
          <w:lang w:val="en-US"/>
        </w:rPr>
        <w:t>w</w:t>
      </w:r>
      <w:r w:rsidRPr="000A7FEF">
        <w:rPr>
          <w:rFonts w:ascii="Verdana" w:hAnsi="Verdana"/>
          <w:sz w:val="20"/>
          <w:szCs w:val="20"/>
        </w:rPr>
        <w:t xml:space="preserve"> της </w:t>
      </w:r>
      <w:r w:rsidRPr="000A7FEF">
        <w:rPr>
          <w:rFonts w:ascii="Verdana" w:hAnsi="Verdana"/>
          <w:sz w:val="20"/>
          <w:szCs w:val="20"/>
          <w:lang w:val="en-US"/>
        </w:rPr>
        <w:t>BAUER</w:t>
      </w:r>
      <w:r w:rsidRPr="000A7FEF">
        <w:rPr>
          <w:rFonts w:ascii="Verdana" w:hAnsi="Verdana"/>
          <w:sz w:val="20"/>
          <w:szCs w:val="20"/>
        </w:rPr>
        <w:t xml:space="preserve"> </w:t>
      </w:r>
      <w:r w:rsidRPr="000A7FEF">
        <w:rPr>
          <w:rFonts w:ascii="Verdana" w:hAnsi="Verdana"/>
          <w:sz w:val="20"/>
          <w:szCs w:val="20"/>
          <w:lang w:val="en-US"/>
        </w:rPr>
        <w:t>energy</w:t>
      </w:r>
      <w:r w:rsidRPr="000A7FEF">
        <w:rPr>
          <w:rFonts w:ascii="Verdana" w:hAnsi="Verdana"/>
          <w:sz w:val="20"/>
          <w:szCs w:val="20"/>
        </w:rPr>
        <w:t>.</w:t>
      </w:r>
    </w:p>
    <w:p w:rsidR="000A7FEF" w:rsidRPr="000A7FEF" w:rsidRDefault="000A7FEF" w:rsidP="000A7FEF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Λ</w:t>
      </w:r>
      <w:r w:rsidRPr="000A7FEF">
        <w:rPr>
          <w:rFonts w:ascii="Verdana" w:hAnsi="Verdana"/>
          <w:sz w:val="20"/>
          <w:szCs w:val="20"/>
        </w:rPr>
        <w:t>αμπτήρες αλογόνου</w:t>
      </w:r>
      <w:r w:rsidR="00D5756C" w:rsidRPr="00D5756C">
        <w:rPr>
          <w:rFonts w:ascii="Verdana" w:hAnsi="Verdana"/>
          <w:sz w:val="20"/>
          <w:szCs w:val="20"/>
        </w:rPr>
        <w:t xml:space="preserve"> </w:t>
      </w:r>
      <w:r w:rsidR="00D5756C">
        <w:rPr>
          <w:rFonts w:ascii="Verdana" w:hAnsi="Verdana"/>
          <w:sz w:val="20"/>
          <w:szCs w:val="20"/>
          <w:lang w:val="en-US"/>
        </w:rPr>
        <w:t>R</w:t>
      </w:r>
      <w:r w:rsidR="00D5756C" w:rsidRPr="00D5756C">
        <w:rPr>
          <w:rFonts w:ascii="Verdana" w:hAnsi="Verdana"/>
          <w:sz w:val="20"/>
          <w:szCs w:val="20"/>
        </w:rPr>
        <w:t>-111, 12</w:t>
      </w:r>
      <w:r w:rsidR="00D5756C">
        <w:rPr>
          <w:rFonts w:ascii="Verdana" w:hAnsi="Verdana"/>
          <w:sz w:val="20"/>
          <w:szCs w:val="20"/>
          <w:lang w:val="en-US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Pr="000A7FEF">
        <w:rPr>
          <w:rFonts w:ascii="Verdana" w:hAnsi="Verdana"/>
          <w:sz w:val="20"/>
          <w:szCs w:val="20"/>
        </w:rPr>
        <w:t xml:space="preserve">των </w:t>
      </w:r>
      <w:r>
        <w:rPr>
          <w:rFonts w:ascii="Verdana" w:hAnsi="Verdana"/>
          <w:sz w:val="20"/>
          <w:szCs w:val="20"/>
        </w:rPr>
        <w:t>75</w:t>
      </w:r>
      <w:r w:rsidRPr="000A7FEF">
        <w:rPr>
          <w:rFonts w:ascii="Verdana" w:hAnsi="Verdana"/>
          <w:sz w:val="20"/>
          <w:szCs w:val="20"/>
        </w:rPr>
        <w:t xml:space="preserve"> </w:t>
      </w:r>
      <w:r w:rsidRPr="000A7FEF">
        <w:rPr>
          <w:rFonts w:ascii="Verdana" w:hAnsi="Verdana"/>
          <w:sz w:val="20"/>
          <w:szCs w:val="20"/>
          <w:lang w:val="en-US"/>
        </w:rPr>
        <w:t>w</w:t>
      </w:r>
      <w:r w:rsidRPr="000A7FEF">
        <w:rPr>
          <w:rFonts w:ascii="Verdana" w:hAnsi="Verdana"/>
          <w:sz w:val="20"/>
          <w:szCs w:val="20"/>
        </w:rPr>
        <w:t xml:space="preserve"> με λαμπτήρες </w:t>
      </w:r>
      <w:r w:rsidRPr="000A7FEF">
        <w:rPr>
          <w:rFonts w:ascii="Verdana" w:hAnsi="Verdana"/>
          <w:sz w:val="20"/>
          <w:szCs w:val="20"/>
          <w:lang w:val="en-US"/>
        </w:rPr>
        <w:t>LED</w:t>
      </w:r>
      <w:r w:rsidRPr="000A7F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9</w:t>
      </w:r>
      <w:r w:rsidRPr="000A7FEF">
        <w:rPr>
          <w:rFonts w:ascii="Verdana" w:hAnsi="Verdana"/>
          <w:sz w:val="20"/>
          <w:szCs w:val="20"/>
          <w:lang w:val="en-US"/>
        </w:rPr>
        <w:t>w</w:t>
      </w:r>
      <w:r w:rsidRPr="000A7FEF">
        <w:rPr>
          <w:rFonts w:ascii="Verdana" w:hAnsi="Verdana"/>
          <w:sz w:val="20"/>
          <w:szCs w:val="20"/>
        </w:rPr>
        <w:t xml:space="preserve"> της </w:t>
      </w:r>
      <w:r w:rsidRPr="000A7FEF">
        <w:rPr>
          <w:rFonts w:ascii="Verdana" w:hAnsi="Verdana"/>
          <w:sz w:val="20"/>
          <w:szCs w:val="20"/>
          <w:lang w:val="en-US"/>
        </w:rPr>
        <w:t>BAUER</w:t>
      </w:r>
      <w:r w:rsidRPr="000A7FEF">
        <w:rPr>
          <w:rFonts w:ascii="Verdana" w:hAnsi="Verdana"/>
          <w:sz w:val="20"/>
          <w:szCs w:val="20"/>
        </w:rPr>
        <w:t xml:space="preserve"> </w:t>
      </w:r>
      <w:r w:rsidRPr="000A7FEF">
        <w:rPr>
          <w:rFonts w:ascii="Verdana" w:hAnsi="Verdana"/>
          <w:sz w:val="20"/>
          <w:szCs w:val="20"/>
          <w:lang w:val="en-US"/>
        </w:rPr>
        <w:t>energy</w:t>
      </w:r>
      <w:r w:rsidRPr="000A7FEF">
        <w:rPr>
          <w:rFonts w:ascii="Verdana" w:hAnsi="Verdana"/>
          <w:sz w:val="20"/>
          <w:szCs w:val="20"/>
        </w:rPr>
        <w:t>.</w:t>
      </w:r>
    </w:p>
    <w:p w:rsidR="002E2080" w:rsidRDefault="002E2080" w:rsidP="000A7FEF">
      <w:pPr>
        <w:pStyle w:val="ListParagraph"/>
        <w:jc w:val="both"/>
        <w:rPr>
          <w:rFonts w:ascii="Verdana" w:hAnsi="Verdana"/>
          <w:sz w:val="20"/>
        </w:rPr>
      </w:pPr>
    </w:p>
    <w:p w:rsidR="00364463" w:rsidRPr="00F471ED" w:rsidRDefault="00364463">
      <w:pPr>
        <w:pStyle w:val="ListParagraph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Το μεγάλο πλεονέκτημα των </w:t>
      </w:r>
      <w:r>
        <w:rPr>
          <w:rFonts w:ascii="Verdana" w:hAnsi="Verdana"/>
          <w:sz w:val="20"/>
          <w:lang w:val="en-US"/>
        </w:rPr>
        <w:t>LED</w:t>
      </w:r>
      <w:r w:rsidRPr="002E208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είναι ότι σε όλη τη διάρκεια ζωής τους  έχουν μεγάλη σταθερότητα σε απόδοση καθώς επίσης δεν αναπτύσσουν υψηλές θερμοκρασίες. </w:t>
      </w:r>
      <w:r w:rsidR="002E2080">
        <w:rPr>
          <w:rFonts w:ascii="Verdana" w:hAnsi="Verdana"/>
          <w:sz w:val="20"/>
        </w:rPr>
        <w:t xml:space="preserve">Οι λαμπτήρες </w:t>
      </w:r>
      <w:r w:rsidR="002E2080">
        <w:rPr>
          <w:rFonts w:ascii="Verdana" w:hAnsi="Verdana"/>
          <w:sz w:val="20"/>
          <w:lang w:val="en-US"/>
        </w:rPr>
        <w:t>LED</w:t>
      </w:r>
      <w:r w:rsidR="002E2080" w:rsidRPr="002E2080">
        <w:rPr>
          <w:rFonts w:ascii="Verdana" w:hAnsi="Verdana"/>
          <w:sz w:val="20"/>
        </w:rPr>
        <w:t xml:space="preserve"> </w:t>
      </w:r>
      <w:r w:rsidR="002E2080">
        <w:rPr>
          <w:rFonts w:ascii="Verdana" w:hAnsi="Verdana"/>
          <w:sz w:val="20"/>
        </w:rPr>
        <w:t>έχουν πολύ μεγάλη διάρκεια ζωής σε σύγκριση με τους λαμπτήρες αλογόνο</w:t>
      </w:r>
      <w:r>
        <w:rPr>
          <w:rFonts w:ascii="Verdana" w:hAnsi="Verdana"/>
          <w:sz w:val="20"/>
        </w:rPr>
        <w:t xml:space="preserve">υ που ξεπερνάει τις 40.000 ώρες αυτό τους καθιστά </w:t>
      </w:r>
      <w:r w:rsidR="00586710">
        <w:rPr>
          <w:rFonts w:ascii="Verdana" w:hAnsi="Verdana"/>
          <w:sz w:val="20"/>
        </w:rPr>
        <w:t xml:space="preserve">από τους πιο </w:t>
      </w:r>
      <w:r w:rsidR="00F471ED">
        <w:rPr>
          <w:rFonts w:ascii="Verdana" w:hAnsi="Verdana"/>
          <w:sz w:val="20"/>
        </w:rPr>
        <w:t>οικονομικούς</w:t>
      </w:r>
      <w:r>
        <w:rPr>
          <w:rFonts w:ascii="Verdana" w:hAnsi="Verdana"/>
          <w:sz w:val="20"/>
        </w:rPr>
        <w:t xml:space="preserve"> τόσο στην λειτουργία τους αλλά και στην </w:t>
      </w:r>
      <w:r w:rsidR="00F471ED">
        <w:rPr>
          <w:rFonts w:ascii="Verdana" w:hAnsi="Verdana"/>
          <w:sz w:val="20"/>
        </w:rPr>
        <w:t>συντήρηση</w:t>
      </w:r>
      <w:r>
        <w:rPr>
          <w:rFonts w:ascii="Verdana" w:hAnsi="Verdana"/>
          <w:sz w:val="20"/>
        </w:rPr>
        <w:t xml:space="preserve"> τους </w:t>
      </w:r>
      <w:r w:rsidR="00F471ED" w:rsidRPr="00F471ED">
        <w:rPr>
          <w:rFonts w:ascii="Verdana" w:hAnsi="Verdana"/>
          <w:sz w:val="20"/>
        </w:rPr>
        <w:t>.</w:t>
      </w:r>
    </w:p>
    <w:p w:rsidR="00364463" w:rsidRDefault="00364463">
      <w:pPr>
        <w:pStyle w:val="ListParagraph"/>
        <w:ind w:left="360"/>
        <w:jc w:val="both"/>
        <w:rPr>
          <w:rFonts w:ascii="Verdana" w:hAnsi="Verdana"/>
          <w:sz w:val="20"/>
        </w:rPr>
      </w:pPr>
    </w:p>
    <w:p w:rsidR="000B7C4A" w:rsidRDefault="000B7C4A">
      <w:pPr>
        <w:pStyle w:val="ListParagraph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364463">
        <w:rPr>
          <w:rFonts w:ascii="Verdana" w:hAnsi="Verdana"/>
          <w:sz w:val="20"/>
        </w:rPr>
        <w:t xml:space="preserve">Στον παρακάτω πίνακα συγκρίνουμε συμβατικούς λαμπτήρες με λαμπτήρες </w:t>
      </w:r>
      <w:r w:rsidR="00364463">
        <w:rPr>
          <w:rFonts w:ascii="Verdana" w:hAnsi="Verdana"/>
          <w:sz w:val="20"/>
          <w:lang w:val="en-US"/>
        </w:rPr>
        <w:t>LED</w:t>
      </w:r>
      <w:r w:rsidR="00364463">
        <w:rPr>
          <w:rFonts w:ascii="Verdana" w:hAnsi="Verdana"/>
          <w:sz w:val="20"/>
        </w:rPr>
        <w:t>, τα αποτελέσματα είναι θεαματικά βλέπουμε ότι μόλις σε 3 μήνες κάνουμε απόσβεση των χρημάτων που δαπανήσαμε γ</w:t>
      </w:r>
      <w:r w:rsidR="00CC019E">
        <w:rPr>
          <w:rFonts w:ascii="Verdana" w:hAnsi="Verdana"/>
          <w:sz w:val="20"/>
        </w:rPr>
        <w:t xml:space="preserve">ια την προμήθεια των λαμπτήρων εξοικονομώντας χρήματα για </w:t>
      </w:r>
      <w:r w:rsidR="005828EC">
        <w:rPr>
          <w:rFonts w:ascii="Verdana" w:hAnsi="Verdana"/>
          <w:sz w:val="20"/>
        </w:rPr>
        <w:t>άλλες δραστηριότητες</w:t>
      </w:r>
      <w:r>
        <w:rPr>
          <w:rFonts w:ascii="Verdana" w:hAnsi="Verdana"/>
          <w:sz w:val="20"/>
        </w:rPr>
        <w:t xml:space="preserve"> της εταιρίας.</w:t>
      </w:r>
    </w:p>
    <w:p w:rsidR="000B7C4A" w:rsidRDefault="000B7C4A">
      <w:pPr>
        <w:pStyle w:val="ListParagraph"/>
        <w:ind w:left="360"/>
        <w:jc w:val="both"/>
        <w:rPr>
          <w:rFonts w:ascii="Verdana" w:hAnsi="Verdana"/>
          <w:sz w:val="20"/>
        </w:rPr>
      </w:pPr>
    </w:p>
    <w:p w:rsidR="00A66238" w:rsidRPr="008134BD" w:rsidRDefault="000B7C4A">
      <w:pPr>
        <w:pStyle w:val="ListParagraph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Έτσι μπορούμε να πούμε ότι οι συμβατικοί λαμπτήρες μπορούν να αντικατασταθούν επάξια από του λαμπτήρες </w:t>
      </w:r>
      <w:r>
        <w:rPr>
          <w:rFonts w:ascii="Verdana" w:hAnsi="Verdana"/>
          <w:sz w:val="20"/>
          <w:lang w:val="en-US"/>
        </w:rPr>
        <w:t>LED</w:t>
      </w:r>
      <w:r>
        <w:rPr>
          <w:rFonts w:ascii="Verdana" w:hAnsi="Verdana"/>
          <w:sz w:val="20"/>
        </w:rPr>
        <w:t xml:space="preserve"> καθώς βγαίνουν σε πολλούς τύπους καλύπτοντας και τις πιο απαιτητικές εφαρμογές με χαμηλό κόστος συντήρησης – αντικατάστασης αλλά και αρχικό κεφάλαιο επένδυσης που διαρκώς βαίνει μειούμενο . </w:t>
      </w:r>
    </w:p>
    <w:p w:rsidR="00CA12E6" w:rsidRDefault="00CA12E6">
      <w:pPr>
        <w:pStyle w:val="ListParagraph"/>
        <w:ind w:left="360"/>
        <w:jc w:val="both"/>
        <w:rPr>
          <w:rFonts w:ascii="Verdana" w:hAnsi="Verdan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93"/>
        <w:gridCol w:w="1701"/>
        <w:gridCol w:w="1468"/>
      </w:tblGrid>
      <w:tr w:rsidR="0056282B" w:rsidTr="00A57637">
        <w:tc>
          <w:tcPr>
            <w:tcW w:w="4993" w:type="dxa"/>
          </w:tcPr>
          <w:p w:rsidR="0056282B" w:rsidRPr="00001AC5" w:rsidRDefault="0056282B">
            <w:pPr>
              <w:pStyle w:val="ListParagraph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82B" w:rsidRPr="00001AC5" w:rsidRDefault="0056282B">
            <w:pPr>
              <w:pStyle w:val="ListParagraph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01AC5">
              <w:rPr>
                <w:rFonts w:ascii="Verdana" w:hAnsi="Verdana"/>
                <w:b/>
                <w:sz w:val="20"/>
                <w:szCs w:val="20"/>
              </w:rPr>
              <w:t>Αλογόνα</w:t>
            </w:r>
          </w:p>
        </w:tc>
        <w:tc>
          <w:tcPr>
            <w:tcW w:w="1468" w:type="dxa"/>
          </w:tcPr>
          <w:p w:rsidR="0056282B" w:rsidRPr="00001AC5" w:rsidRDefault="0056282B">
            <w:pPr>
              <w:pStyle w:val="ListParagraph"/>
              <w:ind w:left="0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01AC5">
              <w:rPr>
                <w:rFonts w:ascii="Verdana" w:hAnsi="Verdana"/>
                <w:b/>
                <w:sz w:val="20"/>
                <w:szCs w:val="20"/>
                <w:lang w:val="en-US"/>
              </w:rPr>
              <w:t>3w led</w:t>
            </w:r>
          </w:p>
        </w:tc>
      </w:tr>
      <w:tr w:rsidR="00DE2741" w:rsidTr="00A57637">
        <w:tc>
          <w:tcPr>
            <w:tcW w:w="4993" w:type="dxa"/>
          </w:tcPr>
          <w:p w:rsidR="00DE2741" w:rsidRDefault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Αριθμός λαμπτήρων</w:t>
            </w:r>
          </w:p>
        </w:tc>
        <w:tc>
          <w:tcPr>
            <w:tcW w:w="1701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DE2741" w:rsidTr="00A57637">
        <w:tc>
          <w:tcPr>
            <w:tcW w:w="4993" w:type="dxa"/>
          </w:tcPr>
          <w:p w:rsidR="00DE2741" w:rsidRDefault="00DE2741" w:rsidP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Κατανάλωση ενέργειας σε </w:t>
            </w:r>
          </w:p>
        </w:tc>
        <w:tc>
          <w:tcPr>
            <w:tcW w:w="1701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50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</w:tr>
      <w:tr w:rsidR="00DE2741" w:rsidTr="00A57637">
        <w:tc>
          <w:tcPr>
            <w:tcW w:w="4993" w:type="dxa"/>
          </w:tcPr>
          <w:p w:rsidR="00DE2741" w:rsidRDefault="00DE2741" w:rsidP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Ώρες λειτουργίας ετησίως </w:t>
            </w:r>
          </w:p>
        </w:tc>
        <w:tc>
          <w:tcPr>
            <w:tcW w:w="1701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3100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3100</w:t>
            </w:r>
          </w:p>
        </w:tc>
      </w:tr>
      <w:tr w:rsidR="00DE2741" w:rsidTr="00A57637">
        <w:tc>
          <w:tcPr>
            <w:tcW w:w="4993" w:type="dxa"/>
          </w:tcPr>
          <w:p w:rsidR="00DE2741" w:rsidRDefault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Κόστος ενέργειας σε </w:t>
            </w:r>
          </w:p>
        </w:tc>
        <w:tc>
          <w:tcPr>
            <w:tcW w:w="1701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0,15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0,15</w:t>
            </w:r>
          </w:p>
        </w:tc>
      </w:tr>
      <w:tr w:rsidR="00DE2741" w:rsidTr="00A57637">
        <w:tc>
          <w:tcPr>
            <w:tcW w:w="4993" w:type="dxa"/>
          </w:tcPr>
          <w:p w:rsidR="00DE2741" w:rsidRDefault="00DE2741" w:rsidP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Διάρκεια ζωής λαμπτήρα (ώρες)</w:t>
            </w:r>
          </w:p>
        </w:tc>
        <w:tc>
          <w:tcPr>
            <w:tcW w:w="1701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2000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40000</w:t>
            </w:r>
          </w:p>
        </w:tc>
      </w:tr>
      <w:tr w:rsidR="00DE2741" w:rsidTr="00A57637">
        <w:tc>
          <w:tcPr>
            <w:tcW w:w="4993" w:type="dxa"/>
          </w:tcPr>
          <w:p w:rsidR="00DE2741" w:rsidRDefault="00DE2741" w:rsidP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Τιμή (χωρίς ΦΠΑ)</w:t>
            </w:r>
          </w:p>
        </w:tc>
        <w:tc>
          <w:tcPr>
            <w:tcW w:w="1701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0,78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11,5</w:t>
            </w:r>
          </w:p>
        </w:tc>
      </w:tr>
      <w:tr w:rsidR="00DE2741" w:rsidTr="00A57637">
        <w:tc>
          <w:tcPr>
            <w:tcW w:w="4993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Κόστος αντικατάστασης λαμπτήρα</w:t>
            </w:r>
          </w:p>
        </w:tc>
        <w:tc>
          <w:tcPr>
            <w:tcW w:w="1701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0,7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0,7</w:t>
            </w:r>
          </w:p>
        </w:tc>
      </w:tr>
      <w:tr w:rsidR="00DE2741" w:rsidTr="00A57637">
        <w:tc>
          <w:tcPr>
            <w:tcW w:w="4993" w:type="dxa"/>
          </w:tcPr>
          <w:p w:rsidR="00DE2741" w:rsidRDefault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DE2741" w:rsidRDefault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8" w:type="dxa"/>
          </w:tcPr>
          <w:p w:rsidR="00DE2741" w:rsidRDefault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</w:p>
        </w:tc>
      </w:tr>
      <w:tr w:rsidR="00DE2741" w:rsidTr="00A57637">
        <w:tc>
          <w:tcPr>
            <w:tcW w:w="4993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Ετήσιο κόστος ενέργειας</w:t>
            </w:r>
          </w:p>
        </w:tc>
        <w:tc>
          <w:tcPr>
            <w:tcW w:w="1701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23,25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1,395</w:t>
            </w:r>
          </w:p>
        </w:tc>
      </w:tr>
      <w:tr w:rsidR="00DE2741" w:rsidTr="00A57637">
        <w:tc>
          <w:tcPr>
            <w:tcW w:w="4993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Ετήσιο κόστος λαμπτήρων</w:t>
            </w:r>
          </w:p>
        </w:tc>
        <w:tc>
          <w:tcPr>
            <w:tcW w:w="1701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1,2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0,89</w:t>
            </w:r>
          </w:p>
        </w:tc>
      </w:tr>
      <w:tr w:rsidR="00DE2741" w:rsidTr="00A57637">
        <w:tc>
          <w:tcPr>
            <w:tcW w:w="4993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Ετήσιο σχετικό κόστος αντικαταστάσεων</w:t>
            </w:r>
          </w:p>
        </w:tc>
        <w:tc>
          <w:tcPr>
            <w:tcW w:w="1701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1,085</w:t>
            </w:r>
          </w:p>
        </w:tc>
        <w:tc>
          <w:tcPr>
            <w:tcW w:w="1468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0,09</w:t>
            </w:r>
          </w:p>
        </w:tc>
      </w:tr>
      <w:tr w:rsidR="00DE2741" w:rsidTr="00A57637">
        <w:tc>
          <w:tcPr>
            <w:tcW w:w="4993" w:type="dxa"/>
          </w:tcPr>
          <w:p w:rsidR="00DE2741" w:rsidRDefault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DE2741" w:rsidRDefault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8" w:type="dxa"/>
          </w:tcPr>
          <w:p w:rsidR="00DE2741" w:rsidRDefault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</w:p>
        </w:tc>
      </w:tr>
      <w:tr w:rsidR="00DE2741" w:rsidTr="00A57637">
        <w:tc>
          <w:tcPr>
            <w:tcW w:w="4993" w:type="dxa"/>
          </w:tcPr>
          <w:p w:rsidR="00DE2741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Ετήσιο συνολικό κόστος </w:t>
            </w:r>
            <w:r w:rsidR="00335919">
              <w:rPr>
                <w:rFonts w:ascii="Verdana" w:hAnsi="Verdana"/>
                <w:sz w:val="20"/>
              </w:rPr>
              <w:t>ανά</w:t>
            </w:r>
            <w:r>
              <w:rPr>
                <w:rFonts w:ascii="Verdana" w:hAnsi="Verdana"/>
                <w:sz w:val="20"/>
              </w:rPr>
              <w:t xml:space="preserve"> λαμπτήρα</w:t>
            </w:r>
          </w:p>
        </w:tc>
        <w:tc>
          <w:tcPr>
            <w:tcW w:w="1701" w:type="dxa"/>
          </w:tcPr>
          <w:p w:rsidR="00DE2741" w:rsidRDefault="00CA12E6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25,535</w:t>
            </w:r>
          </w:p>
        </w:tc>
        <w:tc>
          <w:tcPr>
            <w:tcW w:w="1468" w:type="dxa"/>
          </w:tcPr>
          <w:p w:rsidR="00DE2741" w:rsidRDefault="00547E48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2,375</w:t>
            </w:r>
          </w:p>
        </w:tc>
      </w:tr>
      <w:tr w:rsidR="00DE2741" w:rsidTr="00A57637">
        <w:tc>
          <w:tcPr>
            <w:tcW w:w="4993" w:type="dxa"/>
          </w:tcPr>
          <w:p w:rsidR="00A57637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Ετήσια εξοικονόμηση ανά λαμπτήρα</w:t>
            </w:r>
          </w:p>
        </w:tc>
        <w:tc>
          <w:tcPr>
            <w:tcW w:w="1701" w:type="dxa"/>
          </w:tcPr>
          <w:p w:rsidR="00DE2741" w:rsidRDefault="00DE2741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8" w:type="dxa"/>
          </w:tcPr>
          <w:p w:rsidR="00DE2741" w:rsidRDefault="00547E48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23,16</w:t>
            </w:r>
          </w:p>
        </w:tc>
      </w:tr>
      <w:tr w:rsidR="00A57637" w:rsidTr="00A57637">
        <w:tc>
          <w:tcPr>
            <w:tcW w:w="4993" w:type="dxa"/>
          </w:tcPr>
          <w:p w:rsidR="00A57637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Χρόνο απόσβεσης </w:t>
            </w:r>
          </w:p>
        </w:tc>
        <w:tc>
          <w:tcPr>
            <w:tcW w:w="1701" w:type="dxa"/>
          </w:tcPr>
          <w:p w:rsidR="00A57637" w:rsidRDefault="00A57637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8" w:type="dxa"/>
          </w:tcPr>
          <w:p w:rsidR="00A57637" w:rsidRDefault="00547E48">
            <w:pPr>
              <w:pStyle w:val="ListParagraph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6 μήνες </w:t>
            </w:r>
          </w:p>
        </w:tc>
      </w:tr>
    </w:tbl>
    <w:p w:rsidR="006727B9" w:rsidRPr="002E2080" w:rsidRDefault="006727B9">
      <w:pPr>
        <w:pStyle w:val="ListParagraph"/>
        <w:ind w:left="360"/>
        <w:jc w:val="both"/>
        <w:rPr>
          <w:rFonts w:ascii="Verdana" w:hAnsi="Verdana"/>
          <w:sz w:val="20"/>
        </w:rPr>
      </w:pPr>
    </w:p>
    <w:sectPr w:rsidR="006727B9" w:rsidRPr="002E2080" w:rsidSect="006E4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2EB3"/>
    <w:multiLevelType w:val="hybridMultilevel"/>
    <w:tmpl w:val="7F4C0F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33AD"/>
    <w:rsid w:val="00001AC5"/>
    <w:rsid w:val="00063D19"/>
    <w:rsid w:val="000A7FEF"/>
    <w:rsid w:val="000B7C4A"/>
    <w:rsid w:val="0013632D"/>
    <w:rsid w:val="002E2080"/>
    <w:rsid w:val="0030344F"/>
    <w:rsid w:val="003300AD"/>
    <w:rsid w:val="00335919"/>
    <w:rsid w:val="00364463"/>
    <w:rsid w:val="00387435"/>
    <w:rsid w:val="003E7DFE"/>
    <w:rsid w:val="00547E48"/>
    <w:rsid w:val="0056282B"/>
    <w:rsid w:val="005828EC"/>
    <w:rsid w:val="00586710"/>
    <w:rsid w:val="006727B9"/>
    <w:rsid w:val="006E48BA"/>
    <w:rsid w:val="006F6C55"/>
    <w:rsid w:val="008134BD"/>
    <w:rsid w:val="009207E3"/>
    <w:rsid w:val="00A4759A"/>
    <w:rsid w:val="00A57637"/>
    <w:rsid w:val="00A66238"/>
    <w:rsid w:val="00B33E79"/>
    <w:rsid w:val="00B76FB3"/>
    <w:rsid w:val="00C633AD"/>
    <w:rsid w:val="00CA0D4B"/>
    <w:rsid w:val="00CA12E6"/>
    <w:rsid w:val="00CC019E"/>
    <w:rsid w:val="00D5756C"/>
    <w:rsid w:val="00DE2741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EF"/>
    <w:pPr>
      <w:ind w:left="720"/>
      <w:contextualSpacing/>
    </w:pPr>
  </w:style>
  <w:style w:type="table" w:styleId="TableGrid">
    <w:name w:val="Table Grid"/>
    <w:basedOn w:val="TableNormal"/>
    <w:uiPriority w:val="59"/>
    <w:rsid w:val="00DE2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C6E1-3995-4A74-AEDA-DB7AF6F2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androulakis</cp:lastModifiedBy>
  <cp:revision>18</cp:revision>
  <cp:lastPrinted>2011-09-27T08:13:00Z</cp:lastPrinted>
  <dcterms:created xsi:type="dcterms:W3CDTF">2011-09-06T19:36:00Z</dcterms:created>
  <dcterms:modified xsi:type="dcterms:W3CDTF">2012-06-13T11:53:00Z</dcterms:modified>
</cp:coreProperties>
</file>